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0F6F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7"/>
        <w:gridCol w:w="255"/>
        <w:gridCol w:w="1230"/>
        <w:gridCol w:w="1485"/>
        <w:gridCol w:w="1477"/>
        <w:gridCol w:w="1485"/>
        <w:gridCol w:w="1485"/>
        <w:gridCol w:w="1485"/>
      </w:tblGrid>
      <w:tr w:rsidR="00FB4C7B" w:rsidRPr="00325F18" w:rsidTr="005D5F9C">
        <w:tc>
          <w:tcPr>
            <w:tcW w:w="17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Temrin No: 2</w:t>
            </w:r>
          </w:p>
        </w:tc>
        <w:tc>
          <w:tcPr>
            <w:tcW w:w="86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BOBİN VE ENDÜKTANS ÖLÇME</w:t>
            </w:r>
          </w:p>
        </w:tc>
      </w:tr>
      <w:tr w:rsidR="00FB4C7B" w:rsidRPr="00325F18" w:rsidTr="005D5F9C">
        <w:tc>
          <w:tcPr>
            <w:tcW w:w="1037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450D149E" wp14:editId="21DCBCB4">
                  <wp:extent cx="2390775" cy="1838325"/>
                  <wp:effectExtent l="0" t="0" r="9525" b="9525"/>
                  <wp:docPr id="3" name="Resim 3" descr="http://temrinlerim.org/2-bobin-olcme_dosyalar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emrinlerim.org/2-bobin-olcme_dosyalar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                               </w:t>
            </w:r>
            <w:r w:rsidRPr="00325F18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2C400DEC" wp14:editId="3062E9FB">
                  <wp:extent cx="1581150" cy="1581150"/>
                  <wp:effectExtent l="0" t="0" r="0" b="0"/>
                  <wp:docPr id="2" name="Resim 2" descr="http://temrinlerim.org/2-bobin-olcme_dosyalar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rinlerim.org/2-bobin-olcme_dosyalar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Bobinler iletken tellerin yan yana veya üst üste sarılmasıyla elde edilen devre elemanlarıdır. Bobinlerin, elektrik akımının değişimine karşı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gösterdikleri tepkiye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denir.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, L harfi ile sembolize edilir ve birimi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henry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(H)'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dir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. Uygulamada daha çok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biriminin alt katları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olan </w:t>
            </w:r>
            <w:proofErr w:type="spellStart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μ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(Mikro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Henri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) ve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mH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(Mili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Henri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) kullanılır. 1 H= 10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vertAlign w:val="superscript"/>
                <w:lang w:eastAsia="tr-TR"/>
              </w:rPr>
              <w:t>3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mH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=10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vertAlign w:val="superscript"/>
                <w:lang w:eastAsia="tr-TR"/>
              </w:rPr>
              <w:t>6 </w:t>
            </w:r>
            <w:proofErr w:type="spellStart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μ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dir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. Bir bobinin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reaktansını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(XL) bulabilmek için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değeri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gram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bilinmelidir</w:t>
            </w:r>
            <w:proofErr w:type="gram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.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Bobinler DC ile beslenen bir devrede çalışırken akıma sadece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omik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 xml:space="preserve"> direnç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gösterirler. Yani, bobinin yapıldığı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metalin akıma karşı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gösterdiği zorluk söz konusudur. AC ile beslenen bir devrede ise bobinin akıma gösterdiği direnç artar. Artışın sebebi bobin etrafında oluşan değişken manyetik alanın akıma karşı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ilave bir karşı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koyma (direnç) etkisi oluşturmasıdır. AC sinyalin frekansı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yükseldikçe oluşan manyetik alanın değişim hızı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da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gram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artacağından</w:t>
            </w:r>
            <w:proofErr w:type="gram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bobinin akıma gösterdiği direnç de yükselir. Bu nedenle bobinler, dirençleri frekansla birlikte yükselen eleman olarak nitelendirilebilir. Bobinlerin sarıldığı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kısma karkas,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mandren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ya da makara; iletkenin karkas üzerinde bir tur yapmasına ise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sipir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, tur ya da sarım adı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verilir. Bobinlerde çoğunlukla dış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yüzeyi izoleli (vernikli) bakır tel kullanılır.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 xml:space="preserve"> Etkileyen Faktörler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Uygulamada kullanılan bir bobinin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çeşitli faktörlere göre azalmakta ya da artmaktadır. Bunlar: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Sarım sayısı,  Nüvenin cinsi, Sarımlar arası aralık, Tel kesiti, Bobinin biçimi, Sargı katı sayısı, Bobinin çapı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Sargı tipi, Uygulanan AC gerilimin frekansıdır.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Bobine doğru gerilim uygulandığında, geçen akıma bobinin ( R )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omik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direnci karşı koyarken aynı bobine alternatif gerilim uygulandığında, alternatif akıma gösterilen direnç daha büyük olur. Alternatif akımdaki bobinin bu direnci (XL) ile ifade edilir ve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direnç ya da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olarak tanımlanır.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: 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X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sz w:val="14"/>
                <w:szCs w:val="14"/>
                <w:lang w:eastAsia="tr-TR"/>
              </w:rPr>
              <w:t>L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=2.</w:t>
            </w:r>
            <w:r w:rsidRPr="00325F18">
              <w:rPr>
                <w:rFonts w:ascii="TimesNewRoman,Bold" w:eastAsia="Times New Roman" w:hAnsi="TimesNewRoman,Bold" w:cs="Times New Roman"/>
                <w:b/>
                <w:bCs/>
                <w:color w:val="444444"/>
                <w:lang w:eastAsia="tr-TR"/>
              </w:rPr>
              <w:t>π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.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f.L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formülü ile hesaplanır.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Burada: 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XL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=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(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Ω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)   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f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= Frekans (Hz)   </w:t>
            </w: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L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=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Endüktanstır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(Henry)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Örnek: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900 µH olan bir bobin 220 Volt 50 Hertz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lik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bir alternatif kaynağına bağlandığında bobinin göstereceği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reaktansı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hesaplayınız.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XL= 2.π.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f.L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          X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sz w:val="14"/>
                <w:szCs w:val="14"/>
                <w:lang w:eastAsia="tr-TR"/>
              </w:rPr>
              <w:t>L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= 2x 3,14 x 50 x 900 x 10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vertAlign w:val="superscript"/>
                <w:lang w:eastAsia="tr-TR"/>
              </w:rPr>
              <w:t>-6           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X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sz w:val="14"/>
                <w:szCs w:val="14"/>
                <w:lang w:eastAsia="tr-TR"/>
              </w:rPr>
              <w:t>L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= 2x 3,14 x 50 x 900 x 10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vertAlign w:val="superscript"/>
                <w:lang w:eastAsia="tr-TR"/>
              </w:rPr>
              <w:t>-6        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XL= 0,2826 Ω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 xml:space="preserve"> Değerinin Ölçülmesi</w:t>
            </w:r>
          </w:p>
          <w:p w:rsidR="00FB4C7B" w:rsidRPr="00325F18" w:rsidRDefault="00FB4C7B" w:rsidP="005D5F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değeri de aynen direnç değerinde olduğu gibi kesinlikle enerji altında olmadan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veya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ölçme özelliğine sahip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avometreler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ile yapılabilmektedir.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ölçerken aynen direnç ölçümündeki teknikler uygulanmaktadır.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olmadığı durumda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ölçme özelliğine sahip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avometre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ile aynen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 olduğu gibi ölçüm yapılabilir. Yalnız burada dikkat edilmesi gereken husus, bu özelliğe sahip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avometrelerde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ölçülecek bobin,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problara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değil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Lx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olarak gösterilen bağlantı noktasına bağlanmalıdır.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</w:tr>
      <w:tr w:rsidR="00FB4C7B" w:rsidRPr="00325F18" w:rsidTr="005D5F9C">
        <w:tc>
          <w:tcPr>
            <w:tcW w:w="1037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DEĞERLENDİRME</w:t>
            </w:r>
          </w:p>
        </w:tc>
      </w:tr>
      <w:tr w:rsidR="00FB4C7B" w:rsidRPr="00325F18" w:rsidTr="005D5F9C"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Adı Soyadı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Teknoloji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Ölçüm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İş Güvenliği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Tertip Düzen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Süre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Toplam</w:t>
            </w:r>
          </w:p>
        </w:tc>
      </w:tr>
      <w:tr w:rsidR="00FB4C7B" w:rsidRPr="00325F18" w:rsidTr="005D5F9C">
        <w:tc>
          <w:tcPr>
            <w:tcW w:w="14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40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100</w:t>
            </w:r>
          </w:p>
        </w:tc>
      </w:tr>
      <w:tr w:rsidR="00FB4C7B" w:rsidRPr="00325F18" w:rsidTr="005D5F9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</w:tr>
      <w:tr w:rsidR="00FB4C7B" w:rsidRPr="00325F18" w:rsidTr="005D5F9C"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0F6F0"/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FB4C7B" w:rsidRPr="00325F18" w:rsidRDefault="00FB4C7B" w:rsidP="00FB4C7B">
      <w:pPr>
        <w:shd w:val="clear" w:color="auto" w:fill="F0F6F0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325F18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 </w:t>
      </w:r>
    </w:p>
    <w:tbl>
      <w:tblPr>
        <w:tblW w:w="0" w:type="auto"/>
        <w:shd w:val="clear" w:color="auto" w:fill="F0F6F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8616"/>
      </w:tblGrid>
      <w:tr w:rsidR="00FB4C7B" w:rsidRPr="00325F18" w:rsidTr="005D5F9C"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lastRenderedPageBreak/>
              <w:t>Temrin No: 2</w:t>
            </w:r>
          </w:p>
        </w:tc>
        <w:tc>
          <w:tcPr>
            <w:tcW w:w="8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BOBİN VE ENDÜKTANS ÖLÇME</w:t>
            </w:r>
          </w:p>
        </w:tc>
      </w:tr>
      <w:tr w:rsidR="00FB4C7B" w:rsidRPr="00325F18" w:rsidTr="005D5F9C">
        <w:tc>
          <w:tcPr>
            <w:tcW w:w="10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0F6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noProof/>
                <w:color w:val="444444"/>
                <w:lang w:eastAsia="tr-TR"/>
              </w:rPr>
              <w:drawing>
                <wp:inline distT="0" distB="0" distL="0" distR="0" wp14:anchorId="5DB71474" wp14:editId="539890EA">
                  <wp:extent cx="3381375" cy="4762500"/>
                  <wp:effectExtent l="0" t="0" r="9525" b="0"/>
                  <wp:docPr id="1" name="Resim 1" descr="http://temrinlerim.org/2-bobin-olcme_dosyalar/image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emrinlerim.org/2-bobin-olcme_dosyalar/image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C7B" w:rsidRPr="00325F18" w:rsidRDefault="00FB4C7B" w:rsidP="005D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değeri de aynen direnç değerinde olduğu gibi kesinlikle enerji altında olmadan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veya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ölçme özelliğine sahip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avometreler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ile yapılabilmektedir.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ölçerken aynen direnç ölçümündeki teknikler uygulanmaktadır.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olmadığı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durumda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ölçme özelliğine sahip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avometre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ile aynen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 olduğu gibi ölçüm yapılabilir. Yalnız burada dikkat edilmesi gereken husus, bu özelliğe sahip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avometrelerde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ölçülecek bobin,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problara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değil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Lx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olarak gösterilen bağlantı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noktasına bağlanmalıdır.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Sorular: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Aşağıda verilen soruları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doğru ya da yanlış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olarak cevaplayınız.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1. 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Bobinin alternatif akımın değişimine karşı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gösterdiği zorluğa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denir.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2. 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Bobin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endüktasının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birimi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henrydir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3. 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mH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ve </w:t>
            </w:r>
            <w:proofErr w:type="spellStart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μ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H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endüktansın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üst katlarıdır.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4. 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Sipir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sayısı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değiştirilen bir bobinin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değişmez.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5. 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Telin çapı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etkileyen faktörlerden biri değildir.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6. 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büyük olan bobinin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da büyüktür.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7. 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LCRmetre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ile ölçülür.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8. 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Frekans arttıkça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azalır.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9. 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Frekans,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değiştiren faktörlerden biri değildir.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10. 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Doğru akım uygulanan bir bobinin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sıfırdır.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b/>
                <w:bCs/>
                <w:color w:val="444444"/>
                <w:lang w:eastAsia="tr-TR"/>
              </w:rPr>
              <w:t>11. 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0,02 H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endüktansa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sahip bir bobinin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endüktif</w:t>
            </w:r>
            <w:proofErr w:type="spellEnd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 xml:space="preserve"> </w:t>
            </w:r>
            <w:proofErr w:type="spellStart"/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reaktansı</w:t>
            </w:r>
            <w:proofErr w:type="spellEnd"/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20 </w:t>
            </w:r>
            <w:r w:rsidRPr="00325F18">
              <w:rPr>
                <w:rFonts w:ascii="TimesNewRoman" w:eastAsia="Times New Roman" w:hAnsi="TimesNewRoman" w:cs="Times New Roman"/>
                <w:color w:val="444444"/>
                <w:lang w:eastAsia="tr-TR"/>
              </w:rPr>
              <w:t>Ω </w:t>
            </w: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dur.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  <w:p w:rsidR="00FB4C7B" w:rsidRPr="00325F18" w:rsidRDefault="00FB4C7B" w:rsidP="005D5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tr-TR"/>
              </w:rPr>
            </w:pPr>
            <w:r w:rsidRPr="00325F18">
              <w:rPr>
                <w:rFonts w:ascii="Times New Roman" w:eastAsia="Times New Roman" w:hAnsi="Times New Roman" w:cs="Times New Roman"/>
                <w:color w:val="444444"/>
                <w:lang w:eastAsia="tr-TR"/>
              </w:rPr>
              <w:t> </w:t>
            </w:r>
          </w:p>
        </w:tc>
      </w:tr>
    </w:tbl>
    <w:p w:rsidR="00FB4C7B" w:rsidRDefault="00FB4C7B" w:rsidP="00FB4C7B">
      <w:pPr>
        <w:rPr>
          <w:rFonts w:ascii="Arial" w:hAnsi="Arial" w:cs="Arial"/>
        </w:rPr>
      </w:pPr>
    </w:p>
    <w:p w:rsidR="00FB4C7B" w:rsidRDefault="00FB4C7B" w:rsidP="00FB4C7B">
      <w:pPr>
        <w:rPr>
          <w:rFonts w:ascii="Arial" w:hAnsi="Arial" w:cs="Arial"/>
        </w:rPr>
      </w:pPr>
    </w:p>
    <w:p w:rsidR="00FB4C7B" w:rsidRDefault="00FB4C7B" w:rsidP="00FB4C7B">
      <w:pPr>
        <w:rPr>
          <w:rFonts w:ascii="Arial" w:hAnsi="Arial" w:cs="Arial"/>
        </w:rPr>
      </w:pPr>
    </w:p>
    <w:p w:rsidR="00FB4C7B" w:rsidRDefault="00FB4C7B" w:rsidP="00FB4C7B">
      <w:pPr>
        <w:rPr>
          <w:rFonts w:ascii="Arial" w:hAnsi="Arial" w:cs="Arial"/>
        </w:rPr>
      </w:pPr>
    </w:p>
    <w:p w:rsidR="00FB4C7B" w:rsidRDefault="00FB4C7B" w:rsidP="00FB4C7B">
      <w:pPr>
        <w:rPr>
          <w:rFonts w:ascii="Arial" w:hAnsi="Arial" w:cs="Arial"/>
        </w:rPr>
      </w:pPr>
    </w:p>
    <w:p w:rsidR="000C6F8B" w:rsidRDefault="000C6F8B">
      <w:bookmarkStart w:id="0" w:name="_GoBack"/>
      <w:bookmarkEnd w:id="0"/>
    </w:p>
    <w:sectPr w:rsidR="000C6F8B" w:rsidSect="00325F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7B"/>
    <w:rsid w:val="000C6F8B"/>
    <w:rsid w:val="00FB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65623-81CA-4808-8FD5-C9716728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C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Elektronik</dc:creator>
  <cp:keywords/>
  <dc:description/>
  <cp:lastModifiedBy>Elektronik</cp:lastModifiedBy>
  <cp:revision>1</cp:revision>
  <dcterms:created xsi:type="dcterms:W3CDTF">2019-09-24T08:24:00Z</dcterms:created>
  <dcterms:modified xsi:type="dcterms:W3CDTF">2019-09-24T08:24:00Z</dcterms:modified>
</cp:coreProperties>
</file>