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104"/>
      </w:tblGrid>
      <w:tr w:rsidR="00D73265" w:rsidRPr="00D73265" w:rsidTr="00D73265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D73265" w:rsidRPr="00D7326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D73265" w:rsidRPr="00D73265" w:rsidRDefault="00D73265" w:rsidP="00D73265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D7326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7 Temmuz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D73265" w:rsidRPr="00D73265" w:rsidRDefault="00D73265" w:rsidP="00D73265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D73265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D73265" w:rsidRPr="00D73265" w:rsidRDefault="00D73265" w:rsidP="00D7326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D7326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28346</w:t>
                  </w:r>
                  <w:proofErr w:type="gramEnd"/>
                </w:p>
              </w:tc>
            </w:tr>
            <w:tr w:rsidR="00D73265" w:rsidRPr="00D7326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D73265" w:rsidRPr="00D73265" w:rsidRDefault="00D73265" w:rsidP="00D732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D73265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D73265" w:rsidRPr="00D7326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Milli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itim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MDE FAT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 PROJES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KAPSAMINDA YAPILACAK MAL VE 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ZMET ALIMLARI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LE YAPIM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28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 Y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11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Dayanak, Tan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mlar ve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yurt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retimin ve katma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teknoloji kazan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daha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yurt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retimi bulunmayan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nlerin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retilebilmesi, yeni teknoloji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ara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geli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faaliyetlerinin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ve bilgi toplumuna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hedefleri do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itimde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 ve Teknolojiyi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Hareketi Projesi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duyulan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mal,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uygulanacak usul ve esaslar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belirlemektir.</w:t>
                  </w:r>
                  <w:proofErr w:type="gramEnd"/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netmelik,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itimde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 ve Teknolojiyi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tirme Hareketi Projesi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Mill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2015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sonuna kadar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mal,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kapsar.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netmelik,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4/1/2002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4734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Kamu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Kanununun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ici 13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ve 10/12/2003 tarihli ve 5018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Kamu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netimi ve Kontrol Kanununun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ici 20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maddesine dayan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 ve 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saltmalar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uygulamas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isteklilerin teklif verebildi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Aday: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vuran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 ya da bunlar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belgesi: Belli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aday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tespitinde kullan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sunulan belgeleri,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Belli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sonucunda idare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davet edilen isteklilerin teklif verebildi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Dan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man: Dan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yapan, bilgi ve deneyimini idarenin yarar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kullanan, dan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klenicileri ile hi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 organik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bulunmayan, dan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hizmetlerini veren hizmet sunucular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FAT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 projesi: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itimde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 ve Teknolojiyi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Hareketi Projesini,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Hizmet: FAT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 Projesi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teknolojisi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nternet eri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imk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dersler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evrim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evrim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ortamlarda e-i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erik temin edilmesi ve dan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da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sat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olan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hizmeti,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Hizmet sunucusu: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ihalesine teklif veren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 ya da bunlar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dare: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kamu kurum veya kurulu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hale: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usul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artlarla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lerinin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ilecek biri veya birileri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ve ihale yetkilisinin onay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mesinin imzalanmas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tamamlanan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lerinde;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yeterlik, idari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artname,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tasar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gerekli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bilgi ve belgeleri,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 yetkilisi: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darenin, ihale ve harcama yapma yetki ve sorumlulu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sahip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ile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uygun olarak yetki devri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revlilerini,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j)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stekli: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lerinin ihalesine teklif veren tedarik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hizmet sunucusu veya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teahhidini,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haleye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birden fazla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 aralar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ile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turulan grubu,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Mal: FAT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 Projesi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olan etkile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imli tahta, tablet bilgisayar da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makine, te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 ve donan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 ile ta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ta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nmaz mallar ve haklar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Pazarl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belirtilen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llerde kullan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labilen idarenin ihale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teknik detaylar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ntemlerini ve fiyat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isteklilerle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n) Pilot ortak: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aralar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ile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turulan grubun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temsilcisini,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me: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idare ile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Tedarik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i: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ihalesine teklif veren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 ya da bunlar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p) Teklif: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ihalelerde isteklinin idareye sundu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fiyat teklifi ile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erlendirmeye esas belge ve/veya bilgileri,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teahhidi: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ihalesine teklif veren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 ya da bunlar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s)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m: FAT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 Projesi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olan Mill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okul ve kurumlara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nternet ve veri eri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hizmetlerine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altyap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Yerli istekli: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Cumhuriyeti vatanda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ile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Cumhuriyeti kanunlar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kurulmu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ilikleri,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t) Yerli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Yetkili mercilerce yerli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tan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mallar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u)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klenici: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ihale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imzalanan istekliyi,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Temel ilkeler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ihalelerde saydaml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rekabeti,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 muameleyi,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venirli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gizlili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uygun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artlarla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kaynaklar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verimli kullan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sorumludur.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16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ve 17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maddesinin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(b) bentlerinde belirtilen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 alt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kalmak amac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mlara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nemez.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Yerlilik ilkeleri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ihalelerinde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sadece yerli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eden isteklilerin teklif verebilmesine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ihalelerine ise sadece yerli istekliler teklif verebilir.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Teknoloji transferinin gerektirdi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llerde veya yerli istekliler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lanamayaca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ihalelerine,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belirtilmesi kayd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isteklilerin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Dan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ihalelerine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istekliler teklif verebilir.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 komisyonu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yetkilisi, biri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kan olmak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ilgili idare personelinden en az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ve muhasebe veya mali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lerden sorumlu bir personelin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kurulacak en az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tek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 ihale komisyonunu yedek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yeler de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revlendirir.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komisyonu, Mill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duyulmas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kamu kurum ve kurulu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personelinin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turulur.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komisyon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yelerine ihale ilan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davetten itibaren en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verilir.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 eksiksiz olarak toplan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Komisyon kararlar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unlukla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Kararlarda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ekimser kal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 Komisyon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yeleri oy ve kararlar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sorumludur.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oy kullanan komisyon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yeleri,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esini komisyon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yazmak ve imzalamak zorundad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komisyonunca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kararlar ve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tutanaklar, komisyon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kan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yelerinin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soyad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unvanlar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belirtilerek imzalan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before="113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11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 Esaslar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Yakla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maliyet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ihalesi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lmadan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idarece,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 ara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katma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vergisi hari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yakla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maliyet belirlenir. Bu yakla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maliyete ihale ilanlar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ilanlar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verilmez, isteklilere veya ihale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 ile resm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kisi olmayan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klanmaz.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haleye kat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mda yeterlik kurallar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haleye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isteklilerden, ekonomik ve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yeterlik ile meslek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teknik yeterliklerinin belirlenmesine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bilgi ve belgeler istenebilir: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Ekonomik ve mali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belirlenmesi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Bankalardan temin edilecek isteklinin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 ile ilgili belgeler,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steklinin, ilgili mevzuat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olan bilan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osu veya bilan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osunun gerekli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ya da bunlara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belgeleri,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steklinin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hacmini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toplam cirosu veya ihale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ve bitirdi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belgeler.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b) Meslek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teknik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belirlenmesi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steklinin, mevzuat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ilgili odaya kay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faaliyette bulundu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ve teklif vermeye yasal olarak yetkili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kan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tlayan belgeler,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steklinin ihale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benzer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deneyim belgeleri,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steklinin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ve/veya imalat kapasitesine, ara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geli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faaliyetlerine ve kaliteyi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belgeler,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4)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steklinin organizasyon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ihale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yerine getirmek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yeterli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ve nitelikte personel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veya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 ve/veya belgeler,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5)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hizmet veya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isteklinin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netici kadrosu ile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tecek teknik personelinin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itimi ve meslek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niteliklerini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belgeler,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6)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yerine getirilebilmesi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tesis, makine, te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 ve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ekipmana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belgeler,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7)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stekliye do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olsun veya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kalite kontrolden sorumlu olan ilgili teknik personel veya teknik kurulu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belgeler,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8)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standartlara uygunlu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steren, uluslararas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kurallara uygun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akredite edilmi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kalite kontrol kurulu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verilen sertifikalar,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9)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talebi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do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teyit edilmek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tedarik edilecek mallar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numuneleri, kataloglar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foto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10)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yerine getirilebilmesi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mevzuat gere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izin, ruhsat veya faaliyet belgesi.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rekabeti engellememek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gerekli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bilgi ve belgeler istenilebilir.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ortaklar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yeterliklerinin belirlenmesine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kurallara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verilir.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yukar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bilgi veya belgelerden hangilerinin yeterlik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erlendirmesinde kullan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belgelerin ta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yeterlik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ve ihale veya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davet belgelerinde belirtilir.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madde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istenen belgelerden hangilerinin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tname olarak sunulabilece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idare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artnameler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lerinin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belirten idari ve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artnamelerin idarece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esast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Ancak,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lerinin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nedeniyle idarelerce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ihale yetkilisi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onaylanmas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yla,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artnameler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rlatt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mal veya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lerinin teknik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kriterlerine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 par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artnamelerde yer verilir. Belirlenecek teknik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verimlili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fonksiyonelli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lamaya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olur, rekabeti engelleyecek hususlar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ermez ve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rsat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artnamelerde varsa ulusal veya uluslararas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standartlara uygunlu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belge ve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 istenilmesine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Bu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artnamelerde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zelliklere ve tan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mlamalara yer verilir. Belli bir marka, model, patent, kaynak veya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belirtilemez ve belirli bir marka veya modele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nelik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 ve tan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mlamalara yer verilmez.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Ancak, ulusal ve/veya uluslararas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teknik standartlar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zelliklerin belirlenmesinin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llerinde "veya dengi" ifadesine yer verilmek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marka veya model belirtilebilir.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Birden fazla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turmak suretiyle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ihaleye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turanlar, hak ve sorumluluklar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birlikte yapmak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yapar.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veya teklifiyle birlikte pilot orta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belirlendi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Beyannamesini vermek zorundad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hisseye sahip ortak, pilot ortak olarak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sterilmek zorundad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hisse oranlar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veya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ortaklara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daha fazla hisse oran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sahip ve hisseleri birbirine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 olan ortaklar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bu ortaklardan biri pilot ortak olarak belirlenir. Ortaklar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hisse oranlar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Beyannamesinde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halenin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kalmas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linde;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imzalanmas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noter onayl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mesinin idareye verilmesi zorunludur. Bu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mede; ortaklar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hisse oranlar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pilot ortak ile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ortaklar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yerine getirilmesinde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tereken ve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teselsilen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sorumlu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belirtilir.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isteklilerin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ihalelerde yerli ve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istekliler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yaparak ihaleye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lamazlar.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Alt y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kleniciler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nedeniyle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ihale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isteklilerden alt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klenicilere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belirtmeleri, alt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klenicilerin listesini idarenin onay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sunmalar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istenebilir. Ancak bu durumda alt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klenicilerin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lerle ilgili sorumlulu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klenicinin sorumlulu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ortadan kald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before="113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11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 Usulleri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Uygulanacak ihale usulleri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ihalelerde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usullerden biri uygulan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Belli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Pazarl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ihale usul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isteklilerin teklif verebildi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usuld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belirtilmesi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teklif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tamamland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erli teklif sahibi isteklilerle en fazla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tur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fiyat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Belli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ihale usul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Belli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sonucunda idarece davet edilen isteklilerin teklif verebildi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usuld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il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belirtilmek kayd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yeterlikleri tespit edilenler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belirtilen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kriterlere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ralanarak listeye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belli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istekli veya yeterli bulunan isteklilerin tamam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vermeye davet edilebilir.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haleye davet edilen istekli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ten az olamaz. Teklif vermeye davet edilen adaylara tekliflerini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az yirmi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verilerek ihaleye davet mektubu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davet mektubunda belirtilen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kriterlerine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tekliflerin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erlendirmesi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ihale sonu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halenin iptal edilmesi durumunda,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irilerek varsa hatalar ve eksiklikler giderilmek suretiyle,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edilen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 tekrar davet edilerek ihale sonu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Pazarl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usul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llerde pazarl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vurulabilir;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 da belli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ihalede teklif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bu usullerde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ihalenin iptal edilmesi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nceden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olmayan ani ve beklenmeyen olaylar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ortaya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ihalenin ivedi olarak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zorunlu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Yeni teknoloji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ara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ve geli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recine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ve yurt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retim, katma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ve teknoloji kazan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mal ve hizmet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Yakla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maliyeti 1 milyon TL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kraya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ihalelerde il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ildir.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lmayan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llerde en az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istekli davet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(a), (b) ve (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bentlerine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ihalelerde isteklilerden yeterlik belgeleri ve fiyat tekliflerinin birlikte verilmesi istenir.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 fiyat teklifleri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isteklilerden son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 teklifleri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ihale sonu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(c) bendine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kriterlerine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tespit edilen istekliler,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ncelikle ihale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teknik detaylar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 gibi hususlarda fiyat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ermeyen ilk tekliflerini sunar.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uygun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ntem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ihale komisyonu her bir istekli ile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yapar. Teknik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 sonucunda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netle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mesi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zerine bu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layabilecek isteklilerden,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irilerek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netle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artnameye dayal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fiyat tekliflerini de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erecek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tekliflerini vermeleri istenir.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Bu usulle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ihalelerde, ihale onay belgesinde pazarl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dayanak ve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belirtilir.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Do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rudan temin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llerde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do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temin yolu ile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lanabilir;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htiyac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sadece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tek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tespit edilmesi,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250 bin TL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Mevcut mal,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ekipman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teknoloji veya hizmetlerle uyumun ve standardizasyonun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zorunlu olan mal ve hizmetlerin, 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dayal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ilk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iden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Proje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ta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nmaz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kiralanmas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maddeye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mlarda il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yapma, teminat alma, komisyon kurma ve 9 uncu maddede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yeterlik kurallar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arama zorunlulu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bulunmaks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ihale yetkilisince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revlendirilecek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piyasada fiyat ara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temin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before="113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11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hale ve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Yeterlik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,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Verilmesi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re;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isteklilere tekliflerini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rlayabilmeleri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ihale tarihinden en az yirmi bir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yerlerden biri veya birka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ilan edilmek suretiyle duyurulur;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Kamu ihale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lteninde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mlamak,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darenin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nternet sitesinde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nlamak,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Gerekli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Resm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Gazete, uluslararas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yurt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 gazetelerde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mlamak.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yeterlik ve ihale ilanlar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bulunmas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zorunlu hususlar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belirtilmeyen hususlara ilanlarda yer verilemez.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ilanlar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hususlar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belirtilmesi zorunludur;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adresi, telefon ve faks numaras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halenin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miktar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ihalelerinde teslim yeri,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ihalelerinde ise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bitirme tarihi,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Uygulanacak ihale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ihaleye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labilme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istenilen belgelerin neler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nerede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lebilece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hangi bedelle sat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halenin nerede, hangi tarih ve saatte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vurusunun sunulaca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ile son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tarih ve saati,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veya tekliflerin ihale saatine veya son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tarihine kadar nereye verilece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Teklif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Teklif edilen bedelin %1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inden az olmamak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 verilece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Tekliflerin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j)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ve yeterlik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erlendirmesinde uygulanacak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halenin sadece yerli isteklilere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yerli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eden istekliler ile hizmet ve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yerli istekliler lehine fiyat avantaj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uygulanmayaca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haleye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konsorsiyumlar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verip veremeyece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uygun olmamas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18 inci ve 19 uncu maddeleri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olmayan ilanlar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ersizdir. Bu durumda, ilan bu maddelere uygun bir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yenilenmedik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ihale veya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Ancak, 18 inci maddede belirtilen ilan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ilan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relerine uyulmamas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lleri hari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ilanlarda 19 uncu madde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olmayan hatalar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idarece ilanlar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takip eden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hatal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hususlar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zeltme ilan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lmak suretiyle ihale veya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hale ve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yeterlik dok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eri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i ve idari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artnamede yer almas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zorunlu hususlar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 isteklilere talimatlar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eren idari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artnameler ile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projesini de kapsayan teknik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artnameler,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tasar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gerekli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belge ve bilgiler bulunur.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adaylarda aran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artlara,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yeterlik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kriterlerine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gerekli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belge ve bilgilere yer verilir.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artnamede ihale konusuna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asgari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hususlar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belirtilmesi zorunludur;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miktar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hizmetlerde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adresi, telefon ve faks numaras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ihale tarih ve saati ile tekliflerin nereye verilece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steklilere talimatlar,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steklilerde aran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artlar, belgeler ve yeterlik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 isteme ve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Tekliflerin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teklifin belirlenme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tamam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bir 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teklif verilmesinin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ihalelerinde alternatif teklif verilip verilmeyece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verilebilecekse alternatif tekliflerin nas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tek kalem ve/veya ayn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neviden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miktardaki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fiyat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esas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payla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hususlar,</w:t>
                  </w:r>
                  <w:proofErr w:type="gramEnd"/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sigorta, vergi, resim ve har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giderlerinden hangisinin teklif fiyat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olaca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Tekliflerin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erlendirilmesinde uygulanmas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ve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belirtilen usul ve esaslar,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i)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imzalanmas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kadar uygulanmas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ve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belirtilen usul ve esaslar,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j)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halenin sadece yerli isteklilere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yerli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eden istekliler ile hizmet ve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yerli istekliler lehine fiyat avantaj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uygulanmayaca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Teklif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ve kesin teminat oranlar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teminatlara ait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 saatinden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ihalenin iptal edilmesinde idarenin serbest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tekliflerin reddedilmesi ve ihalenin iptal edilmesinde idarenin serbest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o)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haleye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konsorsiyumlar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verip veremeyece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bitirme tarihi,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 yeri, teslim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gecikme halinde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cezalar,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deme yeri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avans verilip verilmeyece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i, verilecekse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miktar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denecekse fiyat fark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ne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kesilece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uzat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verilebilecek haller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labilecek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eksili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durumunda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s) Vergi, resim ve har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ile ilgili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giderlerin kimin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yerinin sigortalanmas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denetimi ve sorumlulu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t) Denetim, muayene ve kabul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u)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mazl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yeterlik ve ihale dok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verilmesi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idarede bedelsiz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lebilir. Ayr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 ihale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idarenin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nternet sitesinde ihale saatine kadar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Ancak,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veya ihaleye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isteyen isteklilerin bu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man bedeli rekabeti engellemeyecek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idarece tespit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de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iklik veya 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 yap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esast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olursa, bunu gerektiren sebep ve zorunluluklar bir tutanakla tespit edilerek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ilanlar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ersiz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yeniden ayn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ilan olunur.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Ancak, ilan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sonra, tekliflerin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tirilmesini etkileyebilecek maddi veya teknik hatalar veya eksikliklerin idarece tespit edilmesi ya da isteklilerce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bildirilmesi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bu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par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zeyilname, son teklif verme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en az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bilgi sahibi olmalar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temin edecek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tamam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nderilir. Zeyilname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nedeniyle tekliflerin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rlanabilmesi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reye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duyulmas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ihale tarihi ertelenebilir. Zeyilname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teklifini bu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zenlemeden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vermi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isteklilere tekliflerini geri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ekerek, yeniden teklif verme imk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Ayr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istekliler tekliflerini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rlarken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duyulan hususlarla ilgili olarak son teklif verme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ncesine kadar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 talep edebilir. Bu talebin idarece uygun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klama, bu tarihe kadar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isteklilere son teklif verme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bilgi sahibi olmalar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temin edecek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ve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 talebinde bulunan istekli belirtilmeksizin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before="113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11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Tekliflerin ve Ba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vurular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Sunulmas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Tekliflerin dili, t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ge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erli para birimi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Teklifleri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belgeler ve ekleri ile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dilde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belgelerin terc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melerinin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 yeminli terc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noter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onaylanmas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Bu durumda teklifin veya belgenin yorumlanmas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terc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esas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Teklif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Tekliflerin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verilmesi esast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Ancak,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belirtilmek suretiyle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para birim cinsinden teklif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viz cinsinden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vurularda ihale tarihinden bir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 Merkez Bankas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viz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 esas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Tekliflerin haz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rlanmas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sunulmas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Teklif mektubu ve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 da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ihaleye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labilme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istenilen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belgeler bir zarfa konulur, zarf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isteklinin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soyad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ticaret unvan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tebligata esas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adresi, teklifin hangi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ait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 ihaleyi yapan idarenin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adresi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Zarf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yeri istekli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imzalan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rlenir veya ka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Teklif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imzal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sunulur. Teklif mektubunda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tamamen okunup kabul edildi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belirtilmesi, teklif edilen bedelin rakam ve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birbirine uygun olarak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kaz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silinti,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zeltme bulunmamas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teklif mektubunun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soyad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ticaret unvan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suretiyle yetkili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ilerce imzalanm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Mal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ihalelerinde,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alternatif teklif verilebilece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dair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alternatif teklifler de ayn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rlanarak sunulur.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Teklifler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ihale saatine kadar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numaral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idareye verilir. Bu saatten sonra verilen teklifler kabul edilmez ve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iade edilir. Teklifler iadeli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da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nderilebilir. Posta ile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nderilecek tekliflerin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ihale saatine kadar idareye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Postadaki gecikme nedeniyle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konulmayacak olan tekliflerin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tutanakla tespit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sunulmas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yukar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 uygulan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Verilen teklifler, zeyilname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hari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herhangi bir sebeple geri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 ve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tirilemez.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Tekliflerin ge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erlilik 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resi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Tekliflerin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ihtiya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duyulmas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bu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teklif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tirilmemesi ve en fazla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teklif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kadar uzat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ici teminat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halelerde, teklif edilen bedelin %1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inden az olmamak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istekli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verilecek tutarda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halede teklif edilen para birimi ile teminat mektubunda belirtilen para birimi ayn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Teminat olarak kabul edilecek de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Teminat olarak kabul edilecek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Tedav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ldeki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paras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Bankalar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verilen 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Hazine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ihra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edilen devlet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bor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 senetleri ve bu senetler yerine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belgeler.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mevzuat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faaliyette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verilen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bankalar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zenleyecekleri 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faaliyette bulunan banka veya benzeri kredi kurulu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kontrgarantisi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faaliyette bulunan bankalar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zenleyecekleri 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teminat olarak kabul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(c) bendinde belirtilen senetler ve bu senetler yerine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zenlenen belgelerden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nominal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 faiz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edilerek ihra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edilenler, ana paraya tekab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eden sat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teminat olarak kabul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teminatlar ihale komisyonlar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teslim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 Bunlar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idarenin hesab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bankalara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kalan istekli ile ikinci uygun teklif sahibi isteklinin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idarece sakl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tutulur ve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isteklilere ait teminatlar ise iade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Teminatlar, teminat olarak kabul edilen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erlerle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Her ne suretle olursa olsun, idarece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teminatlar haczedilemez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ihtiyati tedbir konulamaz.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Tekliflerin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resinden en az otuz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fazla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reli olmak kayd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belirtilir. Teklif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resinin uzat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de ayn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ile uzat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Kesin teminat mektuplar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resiz verilir. Kamu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Kurumu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standart teminat mektubu formuna uygun olarak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zenlenen teminat mektubu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kullan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before="113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11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 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reci ile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H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Tekliflerin al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30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Teklifler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belirtilen ihale saatine kadar idareye verilir.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komisyonunca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saatte ka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verilmi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bir tutanakla tespit edilerek,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bulunanlara duyurulur ve hemen ihaleye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 teklif zarflar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inceler.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25 inci maddesinin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 olmayan zarflar bir tutanak ile belirlenerek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nmaz. Zarflar isteklilerle birlikte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bulunanlar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steklilerin belgelerinin eksik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teklif mektubu ile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uygun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kontrol edilir. Belgeleri eksik veya teklif mektubu ile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 uygun olmayan istekliler tutanakla tespit edilir.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stekliler ile teklif fiyatlar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maliyet tutar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rlanan tutanak ihale komisyonunca imzalan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amada hi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 teklifin reddine veya kabul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karar verilmez, teklifi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belgeler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zeltilemez ve tamamlanamaz. Teklifler ihale komisyonunca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oturum kapat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Tekliflerin de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31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 komisyonunun talebi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idare tekliflerin incelenmesi,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erlendirilmesinde yararlanmak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net olmayan hususlarla ilgili isteklilerden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tekliflerini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isteyebilir. Ancak bu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klama, hi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bir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teklif fiyat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uygun olmayan tekliflerin uygun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 getirilmesi amac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istenilmez ve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(2) Tekliflerin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erlendirilmesinde,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ncelikle belgeleri eksik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veya teklif mektubu ile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uygun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30 uncu maddesine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ilk oturumda tespit edilen isteklilerin tekliflerinin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karar verilir. Ancak, teklifin esas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tirecek nitelikte olmamas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belgelerin eksik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belgelerde bilgi eksikli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idarece belirlenen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isteklilerden bu eksik belge veya bilgilerin tamamlanmas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istenir. Belirlenen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eksik belge veya bilgileri tamamlamayan istekliler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gelir kaydedilir. Bu ilk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ve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 sonucunda belgeleri eksiksiz ve teklif mektubu ile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uygun olan isteklilerin tekliflerinin ayr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erlendirilmesine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ilir. Bu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amada, isteklilerin ihale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yapabilme kapasitelerini belirleyen yeterlik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kriterlerine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tekliflerin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uygun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birim fiyat teklif cetvellerinde aritmetik hata bulunup bulunmad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Aritmetik hata bulunan teklifler isteklinin kabul etmesi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zeltilebilir. Uygun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belirlenen isteklilerin teklifleri ile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aritmetik hatay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etmeyen isteklilerin teklifleri ihale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d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üşü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teklifler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32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 verilen teklifleri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31 inci maddesine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erlendirdikten sonra,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tekliflere veya idarenin tespit etti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yakla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maliyete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teklif fiyat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tespit eder. Bu teklifleri reddetmeden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belirledi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teklif sahiplerinden teklifte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tespit etti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bile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enler ile ilgili ayr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ister.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komisyonu;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alarak,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teklifleri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erlendirir. Bu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erlendirmede Kamu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Kurumu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belirlenen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esas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yeterli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lmeyen veya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klamada bulunmayan isteklilerin teklifleri reddedilir.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tekliflerin reddedilmesi ve ihalenin iptali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33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ihale yetkilisi, verilmi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teklifleri reddederek ihaleyi iptal etmekte serbesttir.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halenin iptal edilmesi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bu durum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isteklilere derhal bildirilir.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tekliflerin reddedilmesi nedeniyle herhangi bir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girmez. Ancak, idare isteklilerin talepte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ihalenin iptal edilme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elerini talep eden isteklilere bildirir.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halenin karara ba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onaylanmas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34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31 inci ve 32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sonucunda ihale,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teklifi veren istekli veya istekliler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teklif, sadece fiyat esas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veya fiyat ile birlikte fiyat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unsurlar da dikkate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belirlenir.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yerli istekliler lehine fiyat avantaj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belirtilen ihalelerde, bu fiyat avantaj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uygulanmak suretiyle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 belirlenerek ihale sonu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halede sunulan fiyatlar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teklifin tespitine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komisyonu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belirleyerek, ihale yetkilisinin onay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sunar. Kararlarda isteklilerin adlar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ticaret unvanlar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teklif edilen bedeller, ihalenin tarihi ve hangi istekli/istekliler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hangi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ihale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nedenleri belirtilir.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kararlar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 yetkilisince onaylanmadan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 idareler, ihale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kalan istekli veya istekliler ile varsa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ikinci teklif sahibi istekli/isteklilerin ihalelere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lmaktan yasakl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teyit ettirerek buna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belgeyi ihale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eklemek zorundad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 isteklinin de yasakl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ihale iptal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hale,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onaylanmas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erli, iptal edilmesi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ise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yetkilisi, karar tarihini izleyen en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ihale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onaylar veya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esini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belirtmek suretiyle iptal eder.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Fiyat d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unsurlar ve bu unsurlara y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nelik d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zenleme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35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dikkate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hususlar fiyat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unsur olarak belirlenebilir;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edilen yerli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katk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uygulanmas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tirilecek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tutar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istihdam edilecek yerli personel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ihale tarihinden iki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uygulanan proje konusu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ile ilgili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tutar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istihdam edilen yerli personel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uygulanmas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tirilecek Ar-Ge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tutar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bu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mda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yerli uzman ve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hendis personel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ve/veya ihale tarihinden iki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uygulanan proje konusu Ar-Ge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tutar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ilgili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tutar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steklinin organizasyon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Ar-Ge ve kalite kontrolden sorumlu teknik birimleri,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istekli veya isteklilerin, yerli istekli veya istekliler ile yapaca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oran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Kalite ve teknik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ve bak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maliyeti,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Sat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servis, bak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onar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hizmetleri ile yedek par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Yukar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gerekli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unsurlar.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teklifin, fiyat ile birlikte fiyat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unsurlar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dikkate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belirlenece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ihalelerde; fiyat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unsurlar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parasal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 veya nispi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hesaplama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ntemi ve bu unsurlara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erlendirmenin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sunulacak belge ve/veya numune idari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artnamede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belirtilir.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teklifin, fiyat ile birlikte fiyat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unsurlar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dikkate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belirlenece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ihalelerde; fiyat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unsurlar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nispi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asgari %20, azami %60 verilebilir.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isteklilerin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verilen ihalelerde yerli istekli lehine %15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kadar fiyat avantaj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Yerli istekliler lehine uygulanacak fiyat avantaj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yabanc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isteklilerin teklif ettikleri bedellere, bu bedeller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belirlenen fiyat avantaj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uygulanarak bulunacak tutar eklenmek suretiyle hesaplan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Teklif edilen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yerli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 yetkili mercilerce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yerli mal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ile belgelendirilir.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stekliler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kradaki fiyat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unsurlara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yetkili mercilerce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zenlenebilen resm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belgeleri sunar. Ancak bu unsurlara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yetkili mercilerce belge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ise isteklinin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beyan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esas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Kesinle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en ihale kararlar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bildirilmesi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36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sonucu, ihale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ihale yetkilisi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onayland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izleyen en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inde, ihale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ihaleye teklif veren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isteklilere bildirilir.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sonucunun bildiriminde, tekliflerin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nmama veya uygun bulunmama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elerine de yer verilir.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ihale yetkilisi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iptal edilmesi durumunda da isteklilere gerek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 belirtilmek suretiyle bildirim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sonucunun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isteklilere bildiriminden itibaren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imzalanamaz.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 ba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vurusu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37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yeterlik veya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yetler ilk ilan tarihini, ilan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lmadan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pazarl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usul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ihaleler ile belli istekliler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ihalenin ikinci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ihalelerde ise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takibini izleyen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ndeki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idarelerce ihale veya son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 tarihinden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sonu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esast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yet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incelemede tekliflerin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tirilmesini etkileyebilecek maddi veya teknik hatalar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eksikliklerin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idarece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zeltme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karar verilmesi halinde, gerekli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zeltme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son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veya ihale tarihi bir defaya mahsus ve yirmi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memek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ertelenir.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teklif veren isteklilere tebli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imzalanmas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ihaleyi yapan idareye ihale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ve ilgili olarak itiraz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vurusunda bulunabilirler.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itirazlar en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ihaleyi yapan idare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sonu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ilgiliye karar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takip eden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tebli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edilir.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tiraz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verilen kararlara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Kamu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 Kurumuna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itirazen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yet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vurusunda bulunulamaz.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meye davet, kesin teminat, isteklinin ve idarenin g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rev ve sorumlulu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38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36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renin bitimini,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mali kontrol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llerde ise bu kontrol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tamamland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 izleyen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nden itibaren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ihale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istekliye, tebli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tarihini izleyen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kesin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vermek suretiyle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 imzalamas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hususu bildirilir.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imzalanaca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tarihte, ihale sonu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bilgileri Kamu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Kurumuna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nderilmek suretiyle ihale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kalan isteklinin ihalelere kat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lmaktan yasakl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 olmad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teyit edilmesi zorunludur.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ve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olarak yerine getirilmesini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amac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 ihale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 kalan istekliden ihale bedeli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hesaplanmak suretiyle %2 oran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kesin teminat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kalan istekli veya istekliler kesin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vererek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 imzalamak zorundad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imzaland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 iade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Bu zorunluluklara uyulmad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takdirde, protesto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ekmeye ve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almaya gerek kalmaks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ihale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kalan isteklinin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gelir kaydedilir. Bu durumda idare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ikinci teklif sahibi istekli/istekliler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imzalanabilmesi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ikinci istekli/isteklilerin teklifinin ihale yetkilisince uygun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kayd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bu teklif sahibi istekli/istekliler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imzalayabilir.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ikinci teklif sahibi istekli/istekliler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imzalanabilmesi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renin bitimini izleyen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ekonomik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en avantajl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ikinci teklif sahibi istekli/isteklilere birinci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krada belirtilen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tebligat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 ikinci teklif sahibi/sahiplerinin de kesin teminat vermemesi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yapmamas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ikinci teklif sahibi/sahiplerinin de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irat kaydedilerek ihale iptal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birinci ve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kralarda belirtilen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hususunda kendisine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yapmakla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istekli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renin bitmesini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izleyen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itibaren en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on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reli bir noter ihbarnamesi ile bildirmek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vazge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ebilir. Bu takdirde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teminat geri verilir ve istekli teminat vermek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belgelendirilmi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giderleri istemeye hak kazan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halenin 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meye ba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39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ihaleler bir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idarece haz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idare ile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imzalan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klenicinin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imzalan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aksi belirtilmedik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melerin notere tescili ve onaylatt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ildir.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ayk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FAT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 Projesi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Mill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okullara internet eri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hizmetleri ve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altyap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Mill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2015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sonuna kadar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lerinde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neticinin onay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15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kadar gelecek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llara yayg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klenmelere giri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before="113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YED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11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 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reci ile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lgili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mede yer almas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gereken hususlar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40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mede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hususlardan uygun olanlar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yer verilir: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miktar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hizmetlerde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adresi,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klenicinin 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ticaret unvan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tebligata esas adresi,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Varsa alt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klenicilere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 ve sorumluluklar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bedeli,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deme yeri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avans verilip verilmeyece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i, verilecekse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miktar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denecekse fiyat fark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ne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sigorta, vergi, resim ve har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giderlerinden hangisinin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bedeline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olaca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Vergi, resim ve har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meyle ilgili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giderlerin kimin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denece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Montaj,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letmeye alma,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itim, bak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m-onar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yedek par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 gibi destek hizmetlerine ait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Kesin teminat miktar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kesin teminat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iadesine ait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Garanti istenilen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llerde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ve garantiye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j)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 yeri, teslim etme ve teslim alma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Yat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Ar-Ge ve yerlilik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Gecikme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cezalar,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uzat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verilebilme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eksili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durumunda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Denetim, muayene ve kabul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o)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yerinin sigortalanmas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denetimi ve sorumlulu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mede de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feshine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klenicinin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personele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sorumluluklar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belgelerin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eki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mazl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niteli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lecek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Fiyat fark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i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art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eksili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41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ihalelerinde fiyat fark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uygulanabilmesi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ihalelerine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idari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artname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melerde, bu fiyat fark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hesaplanaca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belirtilmi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melerinde,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lemeyen durumlar nedeniyle bir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zorunlu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konu olan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esas proje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kalmas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dareyi 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lfete sokmaks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ten ayr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teknik veya ekonomik olarak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bedelinin %20'sine kadar,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bedelinin %25'ine kadar oran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hari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ve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ayn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kleniciye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bu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tamamlanamayaca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ise 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hesab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genel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tasfiye edilir. Ancak bu durumda,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tamam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olarak yerine getirilmesi zorunludur.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bedelinin %80'inden daha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bedelle tamamlanaca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lerde,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bitirmek zorundad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durumda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kleniciye, yapm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ger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giderleri ve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 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olarak,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bedelinin %80'i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fiyatlar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yapt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tutar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bedel fark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%5'i ge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ici kabul tarihindeki fiyatlar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zerinden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cbir sebepler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42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 olarak kabul edilebilecek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tir;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Do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afetler,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Kanuni grev,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Genel salg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hastal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smi veya genel seferberlik ilan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Gerekti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idare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belirlenecek benzeri 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uzat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verilmesi,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feshi gibi durumlarda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idare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yukar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llerin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 olarak kabul edilmesi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in;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kleniciden kaynaklanan bir kusurdan ileri gelmemi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yerine getirilmesine engel nitelikte olmas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klenicinin bu engeli ortadan kald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yetmemi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sebebin meydana geldi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tarihi izleyen yirmi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klenicinin idareye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bildirimde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yetkili merciler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belgelendirilmesi zorunludur. 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sebeplerden dolay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feshedilmesi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hesab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genel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tasfiye edilerek kesin teminat ve varsa ek kesin teminatlar iade edilir.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Denetim, muayene ve kabul i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lemleri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43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Teslim edilen mal, hizmet,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lerine ili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muayene ve kabul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lemleri, idarece kurulacak ikisi konusunda uzman en az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ilik muayene ve kabul komisyonlar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konusu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klenici taraf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idareye teslim edilmedik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muayene ve kabul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Ancak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mesinde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bulunmas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linde; imalat veya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 gerektiren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ler, muayene ve kabul komisyonlar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yetki ve sorumlulu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kald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belirtilen kalite ve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zelliklere g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hususu ilgili idarelerce belirli 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amalarda ve aral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klarla denetlenebilir.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belirlenen mal ve hizmet al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 imza tarihinden sonra belirlenecek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periyotlar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muayene ve kabul komisyonunun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 Bilim, Sanayi ve Teknoloji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Bilimsel ve Teknolojik Ara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Kurumu,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Mill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Bakanl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en az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iden olu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bir komisyon marifetiyle taahh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edilen yerlilik oran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sa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belirlenmesi amac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retimde ara denetimler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idareye bildirilir.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Bu madde uyar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muayene ve kabul i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ile ara denetimlerin usul ve esaslar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ihale dok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relerin hesab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tebligatlar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44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yaz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relerin hesaplanmas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bulunmayan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llerde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11/1/2011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6098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Bor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Kanunu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her 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tebligat hakk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bulunmayan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llerde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11/2/1959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7201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Tebligat Kanunu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elektronik tebligat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Di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 hususlar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45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ihaleler ile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melerde, 4734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Kamu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Kanununun 10 uncu maddesinin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ve alt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11 inci ve 17 </w:t>
                  </w:r>
                  <w:proofErr w:type="spell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 ve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mleriyle </w:t>
                  </w:r>
                  <w:proofErr w:type="gramStart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5/1/2002</w:t>
                  </w:r>
                  <w:proofErr w:type="gramEnd"/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4735 say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Kamu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hale S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meleri Kanununun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yap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zenlemelere ayk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olmamak kayd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nerge ve benzeri d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zenlemeler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46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yay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D73265" w:rsidRPr="00D73265" w:rsidRDefault="00D73265" w:rsidP="00D7326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47 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D73265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Mill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Bakan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Ula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birlikte y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D73265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D73265" w:rsidRPr="00D73265" w:rsidRDefault="00D73265" w:rsidP="00D732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D73265" w:rsidRPr="00D73265" w:rsidRDefault="00D73265" w:rsidP="00D7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73265" w:rsidRPr="00D73265" w:rsidRDefault="00D73265" w:rsidP="00D7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114B" w:rsidRDefault="007B114B">
      <w:bookmarkStart w:id="0" w:name="_GoBack"/>
      <w:bookmarkEnd w:id="0"/>
    </w:p>
    <w:sectPr w:rsidR="007B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65"/>
    <w:rsid w:val="007B114B"/>
    <w:rsid w:val="00D7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D7326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D7326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7421</Words>
  <Characters>42301</Characters>
  <Application>Microsoft Office Word</Application>
  <DocSecurity>0</DocSecurity>
  <Lines>352</Lines>
  <Paragraphs>99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KOLDANCA</dc:creator>
  <cp:lastModifiedBy>Ibrahim KOLDANCA</cp:lastModifiedBy>
  <cp:revision>1</cp:revision>
  <dcterms:created xsi:type="dcterms:W3CDTF">2012-12-07T07:14:00Z</dcterms:created>
  <dcterms:modified xsi:type="dcterms:W3CDTF">2012-12-07T07:15:00Z</dcterms:modified>
</cp:coreProperties>
</file>